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A428" w14:textId="5E2147E6" w:rsidR="00760388" w:rsidRDefault="00AC0F20">
      <w:pPr>
        <w:rPr>
          <w:lang w:val="en-US"/>
        </w:rPr>
      </w:pPr>
      <w:r w:rsidRPr="00AC0F20">
        <w:rPr>
          <w:lang w:val="en-US"/>
        </w:rPr>
        <w:t xml:space="preserve">This data was generated </w:t>
      </w:r>
      <w:r>
        <w:rPr>
          <w:lang w:val="en-US"/>
        </w:rPr>
        <w:t>using plasma samples from the EIMS study (1). The study incudes data from 6</w:t>
      </w:r>
      <w:r w:rsidR="00D71CA0">
        <w:rPr>
          <w:lang w:val="en-US"/>
        </w:rPr>
        <w:t>61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population based</w:t>
      </w:r>
      <w:proofErr w:type="gramEnd"/>
      <w:r>
        <w:rPr>
          <w:lang w:val="en-US"/>
        </w:rPr>
        <w:t xml:space="preserve"> controls and </w:t>
      </w:r>
      <w:r w:rsidR="00D71CA0">
        <w:rPr>
          <w:lang w:val="en-US"/>
        </w:rPr>
        <w:t>650</w:t>
      </w:r>
      <w:r>
        <w:rPr>
          <w:lang w:val="en-US"/>
        </w:rPr>
        <w:t xml:space="preserve"> multiple sclerosis patients from Sweden.</w:t>
      </w:r>
    </w:p>
    <w:p w14:paraId="50C5F6D9" w14:textId="41BCEED4" w:rsidR="00AC0F20" w:rsidRDefault="00AC0F20">
      <w:pPr>
        <w:rPr>
          <w:sz w:val="24"/>
          <w:szCs w:val="24"/>
          <w:lang w:val="en-US"/>
        </w:rPr>
      </w:pPr>
      <w:r>
        <w:rPr>
          <w:lang w:val="en-US"/>
        </w:rPr>
        <w:t xml:space="preserve">The data consists of antibody levels estimated using </w:t>
      </w:r>
      <w:r w:rsidR="009E32B7" w:rsidRPr="009E32B7">
        <w:rPr>
          <w:sz w:val="24"/>
          <w:szCs w:val="24"/>
          <w:lang w:val="en-US"/>
        </w:rPr>
        <w:t>fluorescence-activated bead-based assay</w:t>
      </w:r>
      <w:r w:rsidR="009E32B7">
        <w:rPr>
          <w:sz w:val="24"/>
          <w:szCs w:val="24"/>
          <w:lang w:val="en-US"/>
        </w:rPr>
        <w:t xml:space="preserve">. Samples were run in duplicate. The levels were adjusted between plates using </w:t>
      </w:r>
      <w:proofErr w:type="gramStart"/>
      <w:r w:rsidR="009E32B7">
        <w:rPr>
          <w:sz w:val="24"/>
          <w:szCs w:val="24"/>
          <w:lang w:val="en-US"/>
        </w:rPr>
        <w:t>batch controlled</w:t>
      </w:r>
      <w:proofErr w:type="gramEnd"/>
      <w:r w:rsidR="009E32B7">
        <w:rPr>
          <w:sz w:val="24"/>
          <w:szCs w:val="24"/>
          <w:lang w:val="en-US"/>
        </w:rPr>
        <w:t xml:space="preserve"> samples. The values given are the average of the two run samples after batch correction.</w:t>
      </w:r>
    </w:p>
    <w:p w14:paraId="2FB37217" w14:textId="7F3B7AA0" w:rsidR="009E32B7" w:rsidRPr="009E32B7" w:rsidRDefault="009E32B7">
      <w:pPr>
        <w:rPr>
          <w:lang w:val="en-US"/>
        </w:rPr>
      </w:pPr>
      <w:r>
        <w:rPr>
          <w:sz w:val="24"/>
          <w:szCs w:val="24"/>
          <w:lang w:val="en-US"/>
        </w:rPr>
        <w:t xml:space="preserve">HLA genotypes have been imputed from SNP genotypes in the Hla region of chromosome 6 using HLA*IMP:02 as described previously (2). </w:t>
      </w:r>
    </w:p>
    <w:p w14:paraId="15098098" w14:textId="77777777" w:rsidR="00AC0F20" w:rsidRDefault="00AC0F20">
      <w:pPr>
        <w:rPr>
          <w:lang w:val="en-US"/>
        </w:rPr>
      </w:pPr>
    </w:p>
    <w:p w14:paraId="44BA3DB7" w14:textId="57088F71" w:rsidR="00AC0F20" w:rsidRDefault="00AC0F20">
      <w:pPr>
        <w:rPr>
          <w:lang w:val="en-US"/>
        </w:rPr>
      </w:pPr>
      <w:r>
        <w:rPr>
          <w:lang w:val="en-US"/>
        </w:rPr>
        <w:t xml:space="preserve">The data has been used to generate data presented in a paper which has been accepted for publication in </w:t>
      </w:r>
      <w:r w:rsidR="009E32B7" w:rsidRPr="009E32B7">
        <w:rPr>
          <w:i/>
          <w:color w:val="000000"/>
          <w:sz w:val="24"/>
          <w:szCs w:val="24"/>
          <w:lang w:val="en-US"/>
        </w:rPr>
        <w:t xml:space="preserve">Proc. </w:t>
      </w:r>
      <w:r w:rsidR="009E32B7" w:rsidRPr="00EF0D43">
        <w:rPr>
          <w:i/>
          <w:color w:val="000000"/>
          <w:sz w:val="24"/>
          <w:szCs w:val="24"/>
        </w:rPr>
        <w:t>Natl. Acad. Sci. U. S. A</w:t>
      </w:r>
      <w:r>
        <w:rPr>
          <w:lang w:val="en-US"/>
        </w:rPr>
        <w:t>:</w:t>
      </w:r>
    </w:p>
    <w:p w14:paraId="598A3F4D" w14:textId="77777777" w:rsidR="00AC0F20" w:rsidRPr="00AC0F20" w:rsidRDefault="00AC0F20" w:rsidP="00AC0F20">
      <w:pPr>
        <w:spacing w:line="288" w:lineRule="auto"/>
        <w:jc w:val="center"/>
        <w:rPr>
          <w:b/>
          <w:sz w:val="24"/>
          <w:szCs w:val="24"/>
          <w:lang w:val="en-US"/>
        </w:rPr>
      </w:pPr>
      <w:r w:rsidRPr="00AC0F20">
        <w:rPr>
          <w:b/>
          <w:sz w:val="24"/>
          <w:szCs w:val="24"/>
          <w:lang w:val="en-US"/>
        </w:rPr>
        <w:t>Antibody Reactivity against EBNA1 and GlialCAM Differentiates Multiple Sclerosis Patients from Healthy Controls</w:t>
      </w:r>
    </w:p>
    <w:p w14:paraId="27AB59D8" w14:textId="77777777" w:rsidR="00AC0F20" w:rsidRPr="00AC0F20" w:rsidRDefault="00AC0F20" w:rsidP="00AC0F20">
      <w:pPr>
        <w:spacing w:line="288" w:lineRule="auto"/>
        <w:jc w:val="center"/>
        <w:rPr>
          <w:b/>
          <w:sz w:val="24"/>
          <w:szCs w:val="24"/>
          <w:lang w:val="en-US"/>
        </w:rPr>
      </w:pPr>
    </w:p>
    <w:p w14:paraId="73A28A62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highlight w:val="white"/>
          <w:lang w:val="en-US"/>
        </w:rPr>
        <w:t>Neda Sattarnezhad</w:t>
      </w:r>
      <w:r w:rsidRPr="00AC0F20">
        <w:rPr>
          <w:sz w:val="24"/>
          <w:szCs w:val="24"/>
          <w:vertAlign w:val="superscript"/>
          <w:lang w:val="en-US"/>
        </w:rPr>
        <w:t>1,2</w:t>
      </w:r>
      <w:r w:rsidRPr="00AC0F20">
        <w:rPr>
          <w:sz w:val="24"/>
          <w:szCs w:val="24"/>
          <w:highlight w:val="white"/>
          <w:lang w:val="en-US"/>
        </w:rPr>
        <w:t>*, Ingrid Kockum</w:t>
      </w:r>
      <w:r w:rsidRPr="00AC0F20">
        <w:rPr>
          <w:sz w:val="24"/>
          <w:szCs w:val="24"/>
          <w:vertAlign w:val="superscript"/>
          <w:lang w:val="en-US"/>
        </w:rPr>
        <w:t>3,4</w:t>
      </w:r>
      <w:r w:rsidRPr="00AC0F20">
        <w:rPr>
          <w:sz w:val="24"/>
          <w:szCs w:val="24"/>
          <w:highlight w:val="white"/>
          <w:lang w:val="en-US"/>
        </w:rPr>
        <w:t>*, Olivia G. Thomas</w:t>
      </w:r>
      <w:r w:rsidRPr="00AC0F20">
        <w:rPr>
          <w:sz w:val="24"/>
          <w:szCs w:val="24"/>
          <w:vertAlign w:val="superscript"/>
          <w:lang w:val="en-US"/>
        </w:rPr>
        <w:t>3,5</w:t>
      </w:r>
      <w:r w:rsidRPr="00AC0F20">
        <w:rPr>
          <w:sz w:val="24"/>
          <w:szCs w:val="24"/>
          <w:highlight w:val="white"/>
          <w:lang w:val="en-US"/>
        </w:rPr>
        <w:t>, Yicong Liu</w:t>
      </w:r>
      <w:r w:rsidRPr="00AC0F20">
        <w:rPr>
          <w:sz w:val="24"/>
          <w:szCs w:val="24"/>
          <w:vertAlign w:val="superscript"/>
          <w:lang w:val="en-US"/>
        </w:rPr>
        <w:t>3,4</w:t>
      </w:r>
      <w:r w:rsidRPr="00AC0F20">
        <w:rPr>
          <w:sz w:val="24"/>
          <w:szCs w:val="24"/>
          <w:highlight w:val="white"/>
          <w:lang w:val="en-US"/>
        </w:rPr>
        <w:t>, Peggy P. Ho</w:t>
      </w:r>
      <w:r w:rsidRPr="00AC0F20">
        <w:rPr>
          <w:sz w:val="24"/>
          <w:szCs w:val="24"/>
          <w:vertAlign w:val="superscript"/>
          <w:lang w:val="en-US"/>
        </w:rPr>
        <w:t>6</w:t>
      </w:r>
      <w:r w:rsidRPr="00AC0F20">
        <w:rPr>
          <w:sz w:val="24"/>
          <w:szCs w:val="24"/>
          <w:highlight w:val="white"/>
          <w:lang w:val="en-US"/>
        </w:rPr>
        <w:t>, Alison K. Barret</w:t>
      </w:r>
      <w:r w:rsidRPr="00AC0F20">
        <w:rPr>
          <w:sz w:val="24"/>
          <w:szCs w:val="24"/>
          <w:lang w:val="en-US"/>
        </w:rPr>
        <w:t>t</w:t>
      </w:r>
      <w:r w:rsidRPr="00AC0F20">
        <w:rPr>
          <w:sz w:val="24"/>
          <w:szCs w:val="24"/>
          <w:vertAlign w:val="superscript"/>
          <w:lang w:val="en-US"/>
        </w:rPr>
        <w:t>7</w:t>
      </w:r>
      <w:r w:rsidRPr="00AC0F20">
        <w:rPr>
          <w:sz w:val="24"/>
          <w:szCs w:val="24"/>
          <w:highlight w:val="white"/>
          <w:lang w:val="en-US"/>
        </w:rPr>
        <w:t>, Alexandros Comanescu</w:t>
      </w:r>
      <w:r w:rsidRPr="00AC0F20">
        <w:rPr>
          <w:sz w:val="24"/>
          <w:szCs w:val="24"/>
          <w:vertAlign w:val="superscript"/>
          <w:lang w:val="en-US"/>
        </w:rPr>
        <w:t>7</w:t>
      </w:r>
      <w:r w:rsidRPr="00AC0F20">
        <w:rPr>
          <w:sz w:val="24"/>
          <w:szCs w:val="24"/>
          <w:highlight w:val="white"/>
          <w:lang w:val="en-US"/>
        </w:rPr>
        <w:t>, Tilini U. Wijerante</w:t>
      </w:r>
      <w:r w:rsidRPr="00AC0F20">
        <w:rPr>
          <w:sz w:val="24"/>
          <w:szCs w:val="24"/>
          <w:vertAlign w:val="superscript"/>
          <w:lang w:val="en-US"/>
        </w:rPr>
        <w:t>1</w:t>
      </w:r>
      <w:r w:rsidRPr="00AC0F20">
        <w:rPr>
          <w:sz w:val="24"/>
          <w:szCs w:val="24"/>
          <w:highlight w:val="white"/>
          <w:lang w:val="en-US"/>
        </w:rPr>
        <w:t>, Paul J. Utz</w:t>
      </w:r>
      <w:r w:rsidRPr="00AC0F20">
        <w:rPr>
          <w:sz w:val="24"/>
          <w:szCs w:val="24"/>
          <w:vertAlign w:val="superscript"/>
          <w:lang w:val="en-US"/>
        </w:rPr>
        <w:t>1</w:t>
      </w:r>
      <w:r w:rsidRPr="00AC0F20">
        <w:rPr>
          <w:sz w:val="24"/>
          <w:szCs w:val="24"/>
          <w:highlight w:val="white"/>
          <w:lang w:val="en-US"/>
        </w:rPr>
        <w:t>, Lars Alfredsson</w:t>
      </w:r>
      <w:r w:rsidRPr="00AC0F20">
        <w:rPr>
          <w:sz w:val="24"/>
          <w:szCs w:val="24"/>
          <w:vertAlign w:val="superscript"/>
          <w:lang w:val="en-US"/>
        </w:rPr>
        <w:t>3,8</w:t>
      </w:r>
      <w:r w:rsidRPr="00AC0F20">
        <w:rPr>
          <w:sz w:val="24"/>
          <w:szCs w:val="24"/>
          <w:highlight w:val="white"/>
          <w:lang w:val="en-US"/>
        </w:rPr>
        <w:t>, Lawrence Steinman</w:t>
      </w:r>
      <w:r w:rsidRPr="00AC0F20">
        <w:rPr>
          <w:sz w:val="24"/>
          <w:szCs w:val="24"/>
          <w:vertAlign w:val="superscript"/>
          <w:lang w:val="en-US"/>
        </w:rPr>
        <w:t>6</w:t>
      </w:r>
      <w:r w:rsidRPr="00AC0F20">
        <w:rPr>
          <w:sz w:val="24"/>
          <w:szCs w:val="24"/>
          <w:highlight w:val="white"/>
          <w:lang w:val="en-US"/>
        </w:rPr>
        <w:t>, William H. Robinson</w:t>
      </w:r>
      <w:r w:rsidRPr="00AC0F20">
        <w:rPr>
          <w:sz w:val="24"/>
          <w:szCs w:val="24"/>
          <w:vertAlign w:val="superscript"/>
          <w:lang w:val="en-US"/>
        </w:rPr>
        <w:t>1,9</w:t>
      </w:r>
      <w:r w:rsidRPr="00AC0F20">
        <w:rPr>
          <w:sz w:val="24"/>
          <w:szCs w:val="24"/>
          <w:highlight w:val="white"/>
          <w:lang w:val="en-US"/>
        </w:rPr>
        <w:t>, Tomas Olsson</w:t>
      </w:r>
      <w:r w:rsidRPr="00AC0F20">
        <w:rPr>
          <w:sz w:val="24"/>
          <w:szCs w:val="24"/>
          <w:vertAlign w:val="superscript"/>
          <w:lang w:val="en-US"/>
        </w:rPr>
        <w:t>3,4</w:t>
      </w:r>
      <w:r w:rsidRPr="00AC0F20">
        <w:rPr>
          <w:sz w:val="24"/>
          <w:szCs w:val="24"/>
          <w:highlight w:val="white"/>
          <w:lang w:val="en-US"/>
        </w:rPr>
        <w:t>*, Tobias V. Lanz</w:t>
      </w:r>
      <w:r w:rsidRPr="00AC0F20">
        <w:rPr>
          <w:sz w:val="24"/>
          <w:szCs w:val="24"/>
          <w:vertAlign w:val="superscript"/>
          <w:lang w:val="en-US"/>
        </w:rPr>
        <w:t>1,7</w:t>
      </w:r>
      <w:r w:rsidRPr="00AC0F20">
        <w:rPr>
          <w:sz w:val="24"/>
          <w:szCs w:val="24"/>
          <w:highlight w:val="white"/>
          <w:lang w:val="en-US"/>
        </w:rPr>
        <w:t>*</w:t>
      </w:r>
    </w:p>
    <w:p w14:paraId="3DA3C66A" w14:textId="77777777" w:rsidR="00AC0F20" w:rsidRPr="00AC0F20" w:rsidRDefault="00AC0F20" w:rsidP="00AC0F20">
      <w:pPr>
        <w:spacing w:line="288" w:lineRule="auto"/>
        <w:rPr>
          <w:b/>
          <w:sz w:val="24"/>
          <w:szCs w:val="24"/>
          <w:lang w:val="en-US"/>
        </w:rPr>
      </w:pPr>
    </w:p>
    <w:p w14:paraId="4EFFB13D" w14:textId="77777777" w:rsidR="00AC0F20" w:rsidRPr="00AC0F20" w:rsidRDefault="00AC0F20" w:rsidP="00AC0F20">
      <w:pPr>
        <w:spacing w:line="288" w:lineRule="auto"/>
        <w:rPr>
          <w:b/>
          <w:sz w:val="24"/>
          <w:szCs w:val="24"/>
          <w:lang w:val="en-US"/>
        </w:rPr>
      </w:pPr>
      <w:r w:rsidRPr="00AC0F20">
        <w:rPr>
          <w:b/>
          <w:sz w:val="24"/>
          <w:szCs w:val="24"/>
          <w:lang w:val="en-US"/>
        </w:rPr>
        <w:t>Affiliations</w:t>
      </w:r>
    </w:p>
    <w:p w14:paraId="423F5E1B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1</w:t>
      </w:r>
      <w:r w:rsidRPr="00AC0F20">
        <w:rPr>
          <w:sz w:val="24"/>
          <w:szCs w:val="24"/>
          <w:lang w:val="en-US"/>
        </w:rPr>
        <w:t>Division of Immunology and Rheumatology, Department of Medicine, Stanford University School of Medicine, Stanford, CA, USA</w:t>
      </w:r>
    </w:p>
    <w:p w14:paraId="140A0FB2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2</w:t>
      </w:r>
      <w:r w:rsidRPr="00AC0F20">
        <w:rPr>
          <w:sz w:val="24"/>
          <w:szCs w:val="24"/>
          <w:lang w:val="en-US"/>
        </w:rPr>
        <w:t>Department of Neurology, VA Palo Alto Health Care System, Palo Alto, USA</w:t>
      </w:r>
    </w:p>
    <w:p w14:paraId="6108E9FE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3</w:t>
      </w:r>
      <w:r w:rsidRPr="00AC0F20">
        <w:rPr>
          <w:sz w:val="24"/>
          <w:szCs w:val="24"/>
          <w:lang w:val="en-US"/>
        </w:rPr>
        <w:t>Neuroimmunology Unit, Department of Clinical Neuroscience, Karolinska Institutet, Stockholm, Sweden</w:t>
      </w:r>
    </w:p>
    <w:p w14:paraId="2E05964F" w14:textId="77777777" w:rsidR="00AC0F20" w:rsidRPr="00171811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4</w:t>
      </w:r>
      <w:r w:rsidRPr="00171811">
        <w:rPr>
          <w:sz w:val="24"/>
          <w:szCs w:val="24"/>
          <w:lang w:val="en-US"/>
        </w:rPr>
        <w:t xml:space="preserve"> Center for Molecular Medicine, Karolinska University Hosp</w:t>
      </w:r>
      <w:r>
        <w:rPr>
          <w:sz w:val="24"/>
          <w:szCs w:val="24"/>
          <w:lang w:val="en-US"/>
        </w:rPr>
        <w:t>ital, Stockholm, Sweden</w:t>
      </w:r>
    </w:p>
    <w:p w14:paraId="276410CB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5</w:t>
      </w:r>
      <w:r w:rsidRPr="00AC0F20">
        <w:rPr>
          <w:sz w:val="24"/>
          <w:szCs w:val="24"/>
          <w:lang w:val="en-US"/>
        </w:rPr>
        <w:t>Therapeutic Immune Design, Center for Molecular Medicine, Department of Clinical Neuroscience, Karolinska Institute, Stockholm, Sweden</w:t>
      </w:r>
    </w:p>
    <w:p w14:paraId="44E50926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6</w:t>
      </w:r>
      <w:r w:rsidRPr="00AC0F20">
        <w:rPr>
          <w:sz w:val="24"/>
          <w:szCs w:val="24"/>
          <w:lang w:val="en-US"/>
        </w:rPr>
        <w:t>Department of Neurology and Neurological Sciences, Stanford University School of Medicine, Beckman Center for Molecular Medicine, Stanford, CA, USA</w:t>
      </w:r>
    </w:p>
    <w:p w14:paraId="219CC2A2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7</w:t>
      </w:r>
      <w:r w:rsidRPr="00AC0F20">
        <w:rPr>
          <w:sz w:val="24"/>
          <w:szCs w:val="24"/>
          <w:lang w:val="en-US"/>
        </w:rPr>
        <w:t>Institute for Immunity, Transplantation, and Infection, Stanford University, Stanford, CA, USA</w:t>
      </w:r>
    </w:p>
    <w:p w14:paraId="15E393CD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t>8</w:t>
      </w:r>
      <w:r w:rsidRPr="00AC0F20">
        <w:rPr>
          <w:sz w:val="24"/>
          <w:szCs w:val="24"/>
          <w:lang w:val="en-US"/>
        </w:rPr>
        <w:t>Institute of Environmental Medicine, Karolinska Institutet, Stockholm, Sweden</w:t>
      </w:r>
    </w:p>
    <w:p w14:paraId="56A9D5DF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  <w:r w:rsidRPr="00AC0F20">
        <w:rPr>
          <w:sz w:val="24"/>
          <w:szCs w:val="24"/>
          <w:vertAlign w:val="superscript"/>
          <w:lang w:val="en-US"/>
        </w:rPr>
        <w:lastRenderedPageBreak/>
        <w:t>9</w:t>
      </w:r>
      <w:r w:rsidRPr="00AC0F20">
        <w:rPr>
          <w:sz w:val="24"/>
          <w:szCs w:val="24"/>
          <w:lang w:val="en-US"/>
        </w:rPr>
        <w:t>The Geriatric Research, Education, and Clinical Center (GRECC), VA Palo Alto Health Care System, Palo Alto, CA, USA</w:t>
      </w:r>
    </w:p>
    <w:p w14:paraId="4C7EA0E8" w14:textId="77777777" w:rsidR="00AC0F20" w:rsidRDefault="00AC0F20" w:rsidP="00AC0F20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*equal contributions</w:t>
      </w:r>
    </w:p>
    <w:p w14:paraId="535E6424" w14:textId="77777777" w:rsidR="00AC0F20" w:rsidRDefault="00AC0F20" w:rsidP="00AC0F20">
      <w:pPr>
        <w:spacing w:line="288" w:lineRule="auto"/>
        <w:rPr>
          <w:sz w:val="24"/>
          <w:szCs w:val="24"/>
        </w:rPr>
      </w:pPr>
    </w:p>
    <w:p w14:paraId="6AFD049D" w14:textId="4A326F6E" w:rsidR="00AC0F20" w:rsidRDefault="00AC0F20" w:rsidP="00AC0F20">
      <w:pPr>
        <w:spacing w:line="288" w:lineRule="auto"/>
        <w:rPr>
          <w:sz w:val="24"/>
          <w:szCs w:val="24"/>
        </w:rPr>
      </w:pPr>
      <w:r>
        <w:rPr>
          <w:sz w:val="24"/>
          <w:szCs w:val="24"/>
        </w:rPr>
        <w:t>Refereces</w:t>
      </w:r>
    </w:p>
    <w:p w14:paraId="0AA66594" w14:textId="3C6FF423" w:rsidR="00AC0F20" w:rsidRDefault="00AC0F20" w:rsidP="00AC0F2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240" w:line="240" w:lineRule="auto"/>
        <w:rPr>
          <w:color w:val="000000"/>
          <w:sz w:val="24"/>
          <w:szCs w:val="24"/>
          <w:lang w:val="en-US"/>
        </w:rPr>
      </w:pPr>
      <w:r w:rsidRPr="00AC0F20">
        <w:rPr>
          <w:color w:val="000000"/>
          <w:sz w:val="24"/>
          <w:szCs w:val="24"/>
          <w:lang w:val="en-US"/>
        </w:rPr>
        <w:t xml:space="preserve">A. K. Hedström, M. Bäärnhielm, T. Olsson, L. Alfredsson, Tobacco smoking, but not Swedish snuff use, increases the risk of multiple sclerosis. </w:t>
      </w:r>
      <w:r w:rsidRPr="00AC0F20">
        <w:rPr>
          <w:i/>
          <w:color w:val="000000"/>
          <w:sz w:val="24"/>
          <w:szCs w:val="24"/>
          <w:lang w:val="en-US"/>
        </w:rPr>
        <w:t>Neurology</w:t>
      </w:r>
      <w:r w:rsidRPr="00AC0F20">
        <w:rPr>
          <w:color w:val="000000"/>
          <w:sz w:val="24"/>
          <w:szCs w:val="24"/>
          <w:lang w:val="en-US"/>
        </w:rPr>
        <w:t xml:space="preserve"> </w:t>
      </w:r>
      <w:r w:rsidRPr="00AC0F20">
        <w:rPr>
          <w:b/>
          <w:color w:val="000000"/>
          <w:sz w:val="24"/>
          <w:szCs w:val="24"/>
          <w:lang w:val="en-US"/>
        </w:rPr>
        <w:t>73</w:t>
      </w:r>
      <w:r w:rsidRPr="00AC0F20">
        <w:rPr>
          <w:color w:val="000000"/>
          <w:sz w:val="24"/>
          <w:szCs w:val="24"/>
          <w:lang w:val="en-US"/>
        </w:rPr>
        <w:t>, 696–701 (2009).</w:t>
      </w:r>
    </w:p>
    <w:p w14:paraId="06588D5C" w14:textId="0E33BB12" w:rsidR="009E32B7" w:rsidRPr="00AC0F20" w:rsidRDefault="009E32B7" w:rsidP="00AC0F20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80"/>
        </w:tabs>
        <w:spacing w:after="240" w:line="240" w:lineRule="auto"/>
        <w:rPr>
          <w:color w:val="000000"/>
          <w:sz w:val="24"/>
          <w:szCs w:val="24"/>
          <w:lang w:val="en-US"/>
        </w:rPr>
      </w:pPr>
      <w:r w:rsidRPr="009E32B7">
        <w:rPr>
          <w:color w:val="000000"/>
          <w:sz w:val="24"/>
          <w:szCs w:val="24"/>
          <w:lang w:val="en-US"/>
        </w:rPr>
        <w:t xml:space="preserve">K. Tengvall, </w:t>
      </w:r>
      <w:r w:rsidRPr="009E32B7">
        <w:rPr>
          <w:i/>
          <w:color w:val="000000"/>
          <w:sz w:val="24"/>
          <w:szCs w:val="24"/>
          <w:lang w:val="en-US"/>
        </w:rPr>
        <w:t>et al.</w:t>
      </w:r>
      <w:r w:rsidRPr="009E32B7">
        <w:rPr>
          <w:color w:val="000000"/>
          <w:sz w:val="24"/>
          <w:szCs w:val="24"/>
          <w:lang w:val="en-US"/>
        </w:rPr>
        <w:t xml:space="preserve">, Molecular mimicry between Anoctamin 2 and Epstein-Barr virus nuclear antigen 1 associates with multiple sclerosis risk. </w:t>
      </w:r>
      <w:r w:rsidRPr="00EF0D43">
        <w:rPr>
          <w:i/>
          <w:color w:val="000000"/>
          <w:sz w:val="24"/>
          <w:szCs w:val="24"/>
        </w:rPr>
        <w:t>Proc. Natl. Acad. Sci. U. S. A.</w:t>
      </w:r>
      <w:r>
        <w:rPr>
          <w:color w:val="000000"/>
          <w:sz w:val="24"/>
          <w:szCs w:val="24"/>
        </w:rPr>
        <w:t xml:space="preserve"> </w:t>
      </w:r>
      <w:r w:rsidRPr="00EF0D43">
        <w:rPr>
          <w:b/>
          <w:color w:val="000000"/>
          <w:sz w:val="24"/>
          <w:szCs w:val="24"/>
        </w:rPr>
        <w:t>116</w:t>
      </w:r>
      <w:r>
        <w:rPr>
          <w:color w:val="000000"/>
          <w:sz w:val="24"/>
          <w:szCs w:val="24"/>
        </w:rPr>
        <w:t>, 16955–16960 (2019)</w:t>
      </w:r>
    </w:p>
    <w:p w14:paraId="1BA7AD0C" w14:textId="77777777" w:rsidR="00AC0F20" w:rsidRPr="00AC0F20" w:rsidRDefault="00AC0F20" w:rsidP="00AC0F20">
      <w:pPr>
        <w:spacing w:line="288" w:lineRule="auto"/>
        <w:rPr>
          <w:sz w:val="24"/>
          <w:szCs w:val="24"/>
          <w:lang w:val="en-US"/>
        </w:rPr>
      </w:pPr>
    </w:p>
    <w:p w14:paraId="59C79ACB" w14:textId="77777777" w:rsidR="00AC0F20" w:rsidRPr="00AC0F20" w:rsidRDefault="00AC0F20">
      <w:pPr>
        <w:rPr>
          <w:lang w:val="en-US"/>
        </w:rPr>
      </w:pPr>
    </w:p>
    <w:sectPr w:rsidR="00AC0F20" w:rsidRPr="00AC0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F54937"/>
    <w:multiLevelType w:val="hybridMultilevel"/>
    <w:tmpl w:val="572A7FE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781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20"/>
    <w:rsid w:val="001B393A"/>
    <w:rsid w:val="003F2D04"/>
    <w:rsid w:val="006E56BE"/>
    <w:rsid w:val="00760388"/>
    <w:rsid w:val="009E32B7"/>
    <w:rsid w:val="00AC0F20"/>
    <w:rsid w:val="00B27295"/>
    <w:rsid w:val="00CC1B64"/>
    <w:rsid w:val="00D71CA0"/>
    <w:rsid w:val="00F3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922"/>
  <w15:chartTrackingRefBased/>
  <w15:docId w15:val="{D8426D9F-749A-4F88-B72B-F47A34E5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0F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F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0F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0F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0F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0F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0F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0F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0F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0F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F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0F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0F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0F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0F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0F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0F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0F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0F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0F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0F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0F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F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0F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0F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0F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F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F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0F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394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Skelton Kockum</dc:creator>
  <cp:keywords/>
  <dc:description/>
  <cp:lastModifiedBy>Ingrid Skelton Kockum</cp:lastModifiedBy>
  <cp:revision>2</cp:revision>
  <dcterms:created xsi:type="dcterms:W3CDTF">2025-01-23T14:25:00Z</dcterms:created>
  <dcterms:modified xsi:type="dcterms:W3CDTF">2025-01-23T14:40:00Z</dcterms:modified>
</cp:coreProperties>
</file>